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Calibri" w:cs="Calibri" w:eastAsia="Calibri" w:hAnsi="Calibri"/>
          <w:b/>
          <w:bCs/>
          <w:color w:val="006837"/>
          <w:sz w:val="44"/>
          <w:szCs w:val="44"/>
        </w:rPr>
        <w:t xml:space="preserve">FedEx Shipping Charges &amp; Free Shipping Calculation</w:t>
      </w:r>
    </w:p>
    <w:p>
      <w:pPr>
        <w:jc w:val="center"/>
      </w:pPr>
      <w:r>
        <w:rPr>
          <w:rFonts w:ascii="Calibri" w:cs="Calibri" w:eastAsia="Calibri" w:hAnsi="Calibri"/>
          <w:i/>
          <w:iCs/>
          <w:color w:val="64748B"/>
          <w:sz w:val="24"/>
          <w:szCs w:val="24"/>
        </w:rPr>
        <w:t xml:space="preserve">End-to-End Implementation Review, Gap Analysis &amp; Multi-Tenant Audit</w:t>
      </w:r>
    </w:p>
    <w:p>
      <w:r>
        <w:rPr>
          <w:rFonts w:ascii="Calibri" w:cs="Calibri" w:eastAsia="Calibri" w:hAnsi="Calibri"/>
          <w:b w:val="false"/>
          <w:bCs w:val="false"/>
          <w:i/>
          <w:iCs/>
          <w:color w:val="64748B"/>
          <w:sz w:val="20"/>
          <w:szCs w:val="20"/>
        </w:rPr>
        <w:t xml:space="preserve">Platform: Evergreen POS / NexZen E-Commerce Platform | Codebase: evergreen_pos_be, evergreen_pos_fe, evergreenpos_E-commerce_new
Scope: Carrier-Rated FedEx Live API &amp; Cart Limit Free Shipping (Excluding Distance-Based Local Delivery)
Audit Date: November 2, 2026</w:t>
      </w:r>
    </w:p>
    <w:p>
      <w:pPr>
        <w:pStyle w:val="Heading1"/>
      </w:pPr>
      <w:r>
        <w:rPr>
          <w:rFonts w:ascii="Calibri" w:cs="Calibri" w:eastAsia="Calibri" w:hAnsi="Calibri"/>
          <w:b/>
          <w:bCs/>
          <w:color w:val="006837"/>
          <w:sz w:val="30"/>
          <w:szCs w:val="30"/>
        </w:rPr>
        <w:t xml:space="preserve">1. Executive Summary &amp; Scope Clarification</w:t>
      </w:r>
    </w:p>
    <w:p>
      <w:r>
        <w:rPr>
          <w:rFonts w:ascii="Calibri" w:cs="Calibri" w:eastAsia="Calibri" w:hAnsi="Calibri"/>
          <w:b w:val="false"/>
          <w:bCs w:val="false"/>
          <w:i w:val="false"/>
          <w:iCs w:val="false"/>
          <w:color w:val="1E293B"/>
          <w:sz w:val="20"/>
          <w:szCs w:val="20"/>
        </w:rPr>
        <w:t xml:space="preserve">This review provides an exhaustive technical and business audit of the FedEx Shipping Charges integration and the Free Shipping Promotion with Cart Limit across the full e-commerce lifecycle. Per explicit requirement, all local distance-based delivery calculations (the DeliveryConfig ranges and radius slabs) have been omitted from this analysis. The focus is strictly on carrier-rated parcel logistics (FedEx REST API) and merchant-funded Free Shipping threshold logic from Admin configuration through Cart, Checkout, Stripe Payment, Order Dispatch, Delivery, Pre-Fulfillment Cancellation, and Post-Fulfillment Returns.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none"/>
              <w:left w:val="single" w:color="DC2626" w:sz="24"/>
              <w:bottom w:val="none"/>
              <w:right w:val="none"/>
            </w:tcBorders>
            <w:shd w:fill="FEF2F2"/>
            <w:tcMar>
              <w:top w:type="dxa" w:w="140"/>
              <w:left w:type="dxa" w:w="200"/>
              <w:bottom w:type="dxa" w:w="140"/>
              <w:right w:type="dxa" w:w="180"/>
            </w:tcMar>
          </w:tcPr>
          <w:p>
            <w:r>
              <w:rPr>
                <w:rFonts w:ascii="Calibri" w:cs="Calibri" w:eastAsia="Calibri" w:hAnsi="Calibri"/>
                <w:b/>
                <w:bCs/>
                <w:color w:val="DC2626"/>
                <w:sz w:val="21"/>
                <w:szCs w:val="21"/>
              </w:rPr>
              <w:t xml:space="preserve">Core Finding Summary</w:t>
            </w:r>
          </w:p>
          <w:p>
            <w:r>
              <w:rPr>
                <w:rFonts w:ascii="Calibri" w:cs="Calibri" w:eastAsia="Calibri" w:hAnsi="Calibri"/>
                <w:color w:val="1E293B"/>
                <w:sz w:val="19"/>
                <w:szCs w:val="19"/>
              </w:rPr>
              <w:t xml:space="preserve">While the system successfully connects to the FedEx REST API for live rate quoting and preserves financial snapshots at order creation, critical flaws exist: (1) Split delivery completely disqualifies customers from earned free shipping; (2) A severe "cancellation loophole" allows customers to game the cart limit and retain free shipping on sub-threshold items; (3) Pre-discount vs. post-discount threshold checks diverge between Cart and Checkout; and (4) The multi-tenant architecture hardcodes USD currency in fallback paths and lacks multi-currency threshold capabilities for global tenants.</w:t>
            </w:r>
          </w:p>
        </w:tc>
      </w:tr>
    </w:tbl>
    <w:p/>
    <w:p>
      <w:pPr>
        <w:pStyle w:val="Heading1"/>
      </w:pPr>
      <w:r>
        <w:rPr>
          <w:rFonts w:ascii="Calibri" w:cs="Calibri" w:eastAsia="Calibri" w:hAnsi="Calibri"/>
          <w:b/>
          <w:bCs/>
          <w:color w:val="006837"/>
          <w:sz w:val="30"/>
          <w:szCs w:val="30"/>
        </w:rPr>
        <w:t xml:space="preserve">2. Current Implementation Architecture: What Is Actually Built</w:t>
      </w:r>
    </w:p>
    <w:p>
      <w:r>
        <w:rPr>
          <w:rFonts w:ascii="Calibri" w:cs="Calibri" w:eastAsia="Calibri" w:hAnsi="Calibri"/>
          <w:b w:val="false"/>
          <w:bCs w:val="false"/>
          <w:i w:val="false"/>
          <w:iCs w:val="false"/>
          <w:color w:val="1E293B"/>
          <w:sz w:val="20"/>
          <w:szCs w:val="20"/>
        </w:rPr>
        <w:t xml:space="preserve">The platform implements a sophisticated, multi-file logistics pipeline for FedEx rate retrieval, packaging cartonization, threshold discounts, and immutable order bookkeeping. Below is a detailed inspection of the active implementation at each lifecycle stage.</w:t>
      </w:r>
    </w:p>
    <w:p>
      <w:pPr>
        <w:pStyle w:val="Heading2"/>
      </w:pPr>
      <w:r>
        <w:rPr>
          <w:rFonts w:ascii="Calibri" w:cs="Calibri" w:eastAsia="Calibri" w:hAnsi="Calibri"/>
          <w:b/>
          <w:bCs/>
          <w:color w:val="259800"/>
          <w:sz w:val="24"/>
          <w:szCs w:val="24"/>
        </w:rPr>
        <w:t xml:space="preserve">Stage A: Admin Panel Configuration (Company Profile)</w:t>
      </w:r>
    </w:p>
    <w:p>
      <w:r>
        <w:rPr>
          <w:rFonts w:ascii="Calibri" w:cs="Calibri" w:eastAsia="Calibri" w:hAnsi="Calibri"/>
          <w:b w:val="false"/>
          <w:bCs w:val="false"/>
          <w:i w:val="false"/>
          <w:iCs w:val="false"/>
          <w:color w:val="1E293B"/>
          <w:sz w:val="20"/>
          <w:szCs w:val="20"/>
        </w:rPr>
        <w:t xml:space="preserve">In evergreen_pos_fe/src/pages/Settings/CompanyProfile/EcommerceSettings.tsx and evergreen_pos_be/src/models/Company/company-model.js, shipping settings are stored under the company document:</w:t>
      </w:r>
    </w:p>
    <w:p>
      <w:pPr>
        <w:pStyle w:val="ListParagraph"/>
        <w:numPr>
          <w:ilvl w:val="0"/>
          <w:numId w:val="1"/>
        </w:numPr>
      </w:pPr>
      <w:r>
        <w:rPr>
          <w:rFonts w:ascii="Calibri" w:cs="Calibri" w:eastAsia="Calibri" w:hAnsi="Calibri"/>
          <w:b/>
          <w:bCs/>
          <w:color w:val="1E293B"/>
          <w:sz w:val="20"/>
          <w:szCs w:val="20"/>
        </w:rPr>
        <w:t xml:space="preserve">• Standard Shipping: </w:t>
      </w:r>
      <w:r>
        <w:rPr>
          <w:rFonts w:ascii="Calibri" w:cs="Calibri" w:eastAsia="Calibri" w:hAnsi="Calibri"/>
          <w:color w:val="1E293B"/>
          <w:sz w:val="20"/>
          <w:szCs w:val="20"/>
        </w:rPr>
        <w:t xml:space="preserve">Standard Shipping Configuration: Display name, description, margin markup type (percentage or fixed), markup value, minimum fee, maximum fee, safety buffer days, and offline fallback rate ($7.99).</w:t>
      </w:r>
    </w:p>
    <w:p>
      <w:pPr>
        <w:pStyle w:val="ListParagraph"/>
        <w:numPr>
          <w:ilvl w:val="0"/>
          <w:numId w:val="1"/>
        </w:numPr>
      </w:pPr>
      <w:r>
        <w:rPr>
          <w:rFonts w:ascii="Calibri" w:cs="Calibri" w:eastAsia="Calibri" w:hAnsi="Calibri"/>
          <w:b/>
          <w:bCs/>
          <w:color w:val="1E293B"/>
          <w:sz w:val="20"/>
          <w:szCs w:val="20"/>
        </w:rPr>
        <w:t xml:space="preserve">• Express Shipping: </w:t>
      </w:r>
      <w:r>
        <w:rPr>
          <w:rFonts w:ascii="Calibri" w:cs="Calibri" w:eastAsia="Calibri" w:hAnsi="Calibri"/>
          <w:color w:val="1E293B"/>
          <w:sz w:val="20"/>
          <w:szCs w:val="20"/>
        </w:rPr>
        <w:t xml:space="preserve">Express Shipping Configuration: Expedited delivery parameters, markup settings, buffer days, and offline fallback rate ($19.99).</w:t>
      </w:r>
    </w:p>
    <w:p>
      <w:pPr>
        <w:pStyle w:val="ListParagraph"/>
        <w:numPr>
          <w:ilvl w:val="0"/>
          <w:numId w:val="1"/>
        </w:numPr>
      </w:pPr>
      <w:r>
        <w:rPr>
          <w:rFonts w:ascii="Calibri" w:cs="Calibri" w:eastAsia="Calibri" w:hAnsi="Calibri"/>
          <w:b/>
          <w:bCs/>
          <w:color w:val="1E293B"/>
          <w:sz w:val="20"/>
          <w:szCs w:val="20"/>
        </w:rPr>
        <w:t xml:space="preserve">• Cart Limit Rule: </w:t>
      </w:r>
      <w:r>
        <w:rPr>
          <w:rFonts w:ascii="Calibri" w:cs="Calibri" w:eastAsia="Calibri" w:hAnsi="Calibri"/>
          <w:color w:val="1E293B"/>
          <w:sz w:val="20"/>
          <w:szCs w:val="20"/>
        </w:rPr>
        <w:t xml:space="preserve">Free Shipping Promotion: A toggle (enabled) and a numerical cart limit (minOrderSubtotal) defining the threshold required to waive shipping charges.</w:t>
      </w:r>
    </w:p>
    <w:p>
      <w:pPr>
        <w:pStyle w:val="ListParagraph"/>
        <w:numPr>
          <w:ilvl w:val="0"/>
          <w:numId w:val="1"/>
        </w:numPr>
      </w:pPr>
      <w:r>
        <w:rPr>
          <w:rFonts w:ascii="Calibri" w:cs="Calibri" w:eastAsia="Calibri" w:hAnsi="Calibri"/>
          <w:b/>
          <w:bCs/>
          <w:color w:val="1E293B"/>
          <w:sz w:val="20"/>
          <w:szCs w:val="20"/>
        </w:rPr>
        <w:t xml:space="preserve">• Carrier Credentials: </w:t>
      </w:r>
      <w:r>
        <w:rPr>
          <w:rFonts w:ascii="Calibri" w:cs="Calibri" w:eastAsia="Calibri" w:hAnsi="Calibri"/>
          <w:color w:val="1E293B"/>
          <w:sz w:val="20"/>
          <w:szCs w:val="20"/>
        </w:rPr>
        <w:t xml:space="preserve">FedEx Credentials: Account number, client ID, client secret, and environment mode (sandbox/production) configured via store setup or environment variables.</w:t>
      </w:r>
    </w:p>
    <w:p>
      <w:pPr>
        <w:pStyle w:val="Heading2"/>
      </w:pPr>
      <w:r>
        <w:rPr>
          <w:rFonts w:ascii="Calibri" w:cs="Calibri" w:eastAsia="Calibri" w:hAnsi="Calibri"/>
          <w:b/>
          <w:bCs/>
          <w:color w:val="259800"/>
          <w:sz w:val="24"/>
          <w:szCs w:val="24"/>
        </w:rPr>
        <w:t xml:space="preserve">Stage B: Product Packaging &amp; Shipping Metadata</w:t>
      </w:r>
    </w:p>
    <w:p>
      <w:r>
        <w:rPr>
          <w:rFonts w:ascii="Calibri" w:cs="Calibri" w:eastAsia="Calibri" w:hAnsi="Calibri"/>
          <w:b w:val="false"/>
          <w:bCs w:val="false"/>
          <w:i w:val="false"/>
          <w:iCs w:val="false"/>
          <w:color w:val="1E293B"/>
          <w:sz w:val="20"/>
          <w:szCs w:val="20"/>
        </w:rPr>
        <w:t xml:space="preserve">In evergreen_pos_be/src/models/nursery/nursery.product.js, each catalog product carries physical logistics attributes used to assemble the FedEx rating payload:</w:t>
      </w:r>
    </w:p>
    <w:p>
      <w:pPr>
        <w:pStyle w:val="ListParagraph"/>
        <w:numPr>
          <w:ilvl w:val="0"/>
          <w:numId w:val="1"/>
        </w:numPr>
      </w:pPr>
      <w:r>
        <w:rPr>
          <w:rFonts w:ascii="Calibri" w:cs="Calibri" w:eastAsia="Calibri" w:hAnsi="Calibri"/>
          <w:b/>
          <w:bCs/>
          <w:color w:val="1E293B"/>
          <w:sz w:val="20"/>
          <w:szCs w:val="20"/>
        </w:rPr>
        <w:t xml:space="preserve">• Dimensions: </w:t>
      </w:r>
      <w:r>
        <w:rPr>
          <w:rFonts w:ascii="Calibri" w:cs="Calibri" w:eastAsia="Calibri" w:hAnsi="Calibri"/>
          <w:color w:val="1E293B"/>
          <w:sz w:val="20"/>
          <w:szCs w:val="20"/>
        </w:rPr>
        <w:t xml:space="preserve">Physical dimensions: packageLength, packageWidth, packageHeight, and dimensionUnit (in/cm).</w:t>
      </w:r>
    </w:p>
    <w:p>
      <w:pPr>
        <w:pStyle w:val="ListParagraph"/>
        <w:numPr>
          <w:ilvl w:val="0"/>
          <w:numId w:val="1"/>
        </w:numPr>
      </w:pPr>
      <w:r>
        <w:rPr>
          <w:rFonts w:ascii="Calibri" w:cs="Calibri" w:eastAsia="Calibri" w:hAnsi="Calibri"/>
          <w:b/>
          <w:bCs/>
          <w:color w:val="1E293B"/>
          <w:sz w:val="20"/>
          <w:szCs w:val="20"/>
        </w:rPr>
        <w:t xml:space="preserve">• Weights: </w:t>
      </w:r>
      <w:r>
        <w:rPr>
          <w:rFonts w:ascii="Calibri" w:cs="Calibri" w:eastAsia="Calibri" w:hAnsi="Calibri"/>
          <w:color w:val="1E293B"/>
          <w:sz w:val="20"/>
          <w:szCs w:val="20"/>
        </w:rPr>
        <w:t xml:space="preserve">Weight calculations: shippingWeight, packageWeight (tare), dimensionalWeight (volumetric), and billableWeight (max of actual vs dimensional).</w:t>
      </w:r>
    </w:p>
    <w:p>
      <w:pPr>
        <w:pStyle w:val="ListParagraph"/>
        <w:numPr>
          <w:ilvl w:val="0"/>
          <w:numId w:val="1"/>
        </w:numPr>
      </w:pPr>
      <w:r>
        <w:rPr>
          <w:rFonts w:ascii="Calibri" w:cs="Calibri" w:eastAsia="Calibri" w:hAnsi="Calibri"/>
          <w:b/>
          <w:bCs/>
          <w:color w:val="1E293B"/>
          <w:sz w:val="20"/>
          <w:szCs w:val="20"/>
        </w:rPr>
        <w:t xml:space="preserve">• Packaging Rules: </w:t>
      </w:r>
      <w:r>
        <w:rPr>
          <w:rFonts w:ascii="Calibri" w:cs="Calibri" w:eastAsia="Calibri" w:hAnsi="Calibri"/>
          <w:color w:val="1E293B"/>
          <w:sz w:val="20"/>
          <w:szCs w:val="20"/>
        </w:rPr>
        <w:t xml:space="preserve">Cartonization constraints: shipsIndividually (boolean) and maxUnitsPerPackage (splitting large quantities across separate parcels).</w:t>
      </w:r>
    </w:p>
    <w:p>
      <w:pPr>
        <w:pStyle w:val="ListParagraph"/>
        <w:numPr>
          <w:ilvl w:val="0"/>
          <w:numId w:val="1"/>
        </w:numPr>
      </w:pPr>
      <w:r>
        <w:rPr>
          <w:rFonts w:ascii="Calibri" w:cs="Calibri" w:eastAsia="Calibri" w:hAnsi="Calibri"/>
          <w:b/>
          <w:bCs/>
          <w:color w:val="1E293B"/>
          <w:sz w:val="20"/>
          <w:szCs w:val="20"/>
        </w:rPr>
        <w:t xml:space="preserve">• Profile Flags: </w:t>
      </w:r>
      <w:r>
        <w:rPr>
          <w:rFonts w:ascii="Calibri" w:cs="Calibri" w:eastAsia="Calibri" w:hAnsi="Calibri"/>
          <w:color w:val="1E293B"/>
          <w:sz w:val="20"/>
          <w:szCs w:val="20"/>
        </w:rPr>
        <w:t xml:space="preserve">Handling parameters: isFragile, isOversized, and deliveryType (standard_only, express_only, or all).</w:t>
      </w:r>
    </w:p>
    <w:p>
      <w:pPr>
        <w:pStyle w:val="Heading2"/>
      </w:pPr>
      <w:r>
        <w:rPr>
          <w:rFonts w:ascii="Calibri" w:cs="Calibri" w:eastAsia="Calibri" w:hAnsi="Calibri"/>
          <w:b/>
          <w:bCs/>
          <w:color w:val="259800"/>
          <w:sz w:val="24"/>
          <w:szCs w:val="24"/>
        </w:rPr>
        <w:t xml:space="preserve">Stage C: Storefront Cart Limit Experience</w:t>
      </w:r>
    </w:p>
    <w:p>
      <w:r>
        <w:rPr>
          <w:rFonts w:ascii="Calibri" w:cs="Calibri" w:eastAsia="Calibri" w:hAnsi="Calibri"/>
          <w:b w:val="false"/>
          <w:bCs w:val="false"/>
          <w:i w:val="false"/>
          <w:iCs w:val="false"/>
          <w:color w:val="1E293B"/>
          <w:sz w:val="20"/>
          <w:szCs w:val="20"/>
        </w:rPr>
        <w:t xml:space="preserve">In evergreenpos_E-commerce_new/src/features/cart/page/cart.tsx and useStoreFulfillment.ts, the storefront reads shippingSettings.freeShippingThreshold. If enabled, the FreeShippingProgress component renders dynamic encouragement:</w:t>
      </w:r>
    </w:p>
    <w:p>
      <w:pPr>
        <w:pStyle w:val="ListParagraph"/>
        <w:numPr>
          <w:ilvl w:val="0"/>
          <w:numId w:val="1"/>
        </w:numPr>
      </w:pPr>
      <w:r>
        <w:rPr>
          <w:rFonts w:ascii="Calibri" w:cs="Calibri" w:eastAsia="Calibri" w:hAnsi="Calibri"/>
          <w:b/>
          <w:bCs/>
          <w:color w:val="1E293B"/>
          <w:sz w:val="20"/>
          <w:szCs w:val="20"/>
        </w:rPr>
        <w:t xml:space="preserve">• Below Threshold: </w:t>
      </w:r>
      <w:r>
        <w:rPr>
          <w:rFonts w:ascii="Calibri" w:cs="Calibri" w:eastAsia="Calibri" w:hAnsi="Calibri"/>
          <w:color w:val="1E293B"/>
          <w:sz w:val="20"/>
          <w:szCs w:val="20"/>
        </w:rPr>
        <w:t xml:space="preserve">When threshold is unmet: "Add $X.XX more to earn FREE shipping" with a responsive percentage progress bar.</w:t>
      </w:r>
    </w:p>
    <w:p>
      <w:pPr>
        <w:pStyle w:val="ListParagraph"/>
        <w:numPr>
          <w:ilvl w:val="0"/>
          <w:numId w:val="1"/>
        </w:numPr>
      </w:pPr>
      <w:r>
        <w:rPr>
          <w:rFonts w:ascii="Calibri" w:cs="Calibri" w:eastAsia="Calibri" w:hAnsi="Calibri"/>
          <w:b/>
          <w:bCs/>
          <w:color w:val="1E293B"/>
          <w:sz w:val="20"/>
          <w:szCs w:val="20"/>
        </w:rPr>
        <w:t xml:space="preserve">• Above Threshold: </w:t>
      </w:r>
      <w:r>
        <w:rPr>
          <w:rFonts w:ascii="Calibri" w:cs="Calibri" w:eastAsia="Calibri" w:hAnsi="Calibri"/>
          <w:color w:val="1E293B"/>
          <w:sz w:val="20"/>
          <w:szCs w:val="20"/>
        </w:rPr>
        <w:t xml:space="preserve">When threshold is met: "🎉 Congratulations! You've earned FREE shipping" with a green completed badge.</w:t>
      </w:r>
    </w:p>
    <w:p>
      <w:pPr>
        <w:pStyle w:val="Heading2"/>
      </w:pPr>
      <w:r>
        <w:rPr>
          <w:rFonts w:ascii="Calibri" w:cs="Calibri" w:eastAsia="Calibri" w:hAnsi="Calibri"/>
          <w:b/>
          <w:bCs/>
          <w:color w:val="259800"/>
          <w:sz w:val="24"/>
          <w:szCs w:val="24"/>
        </w:rPr>
        <w:t xml:space="preserve">Stage D: Checkout Dynamic FedEx Rating &amp; Split Delivery</w:t>
      </w:r>
    </w:p>
    <w:p>
      <w:r>
        <w:rPr>
          <w:rFonts w:ascii="Calibri" w:cs="Calibri" w:eastAsia="Calibri" w:hAnsi="Calibri"/>
          <w:b w:val="false"/>
          <w:bCs w:val="false"/>
          <w:i w:val="false"/>
          <w:iCs w:val="false"/>
          <w:color w:val="1E293B"/>
          <w:sz w:val="20"/>
          <w:szCs w:val="20"/>
        </w:rPr>
        <w:t xml:space="preserve">When the customer proceeds to checkout (Checkout.tsx) and enters their delivery address:</w:t>
      </w:r>
    </w:p>
    <w:p>
      <w:pPr>
        <w:pStyle w:val="ListParagraph"/>
        <w:numPr>
          <w:ilvl w:val="0"/>
          <w:numId w:val="1"/>
        </w:numPr>
      </w:pPr>
      <w:r>
        <w:rPr>
          <w:rFonts w:ascii="Calibri" w:cs="Calibri" w:eastAsia="Calibri" w:hAnsi="Calibri"/>
          <w:b/>
          <w:bCs/>
          <w:color w:val="1E293B"/>
          <w:sz w:val="20"/>
          <w:szCs w:val="20"/>
        </w:rPr>
        <w:t xml:space="preserve">• Split Delivery Engine: </w:t>
      </w:r>
      <w:r>
        <w:rPr>
          <w:rFonts w:ascii="Calibri" w:cs="Calibri" w:eastAsia="Calibri" w:hAnsi="Calibri"/>
          <w:color w:val="1E293B"/>
          <w:sz w:val="20"/>
          <w:szCs w:val="20"/>
        </w:rPr>
        <w:t xml:space="preserve">Automatic Cart Partitioning: In shippingSplit.service.js, items marked express_only (e.g. perishable plants) and standard_only (e.g. bulk supplies) are automatically segregated into separate packages.</w:t>
      </w:r>
    </w:p>
    <w:p>
      <w:pPr>
        <w:pStyle w:val="ListParagraph"/>
        <w:numPr>
          <w:ilvl w:val="0"/>
          <w:numId w:val="1"/>
        </w:numPr>
      </w:pPr>
      <w:r>
        <w:rPr>
          <w:rFonts w:ascii="Calibri" w:cs="Calibri" w:eastAsia="Calibri" w:hAnsi="Calibri"/>
          <w:b/>
          <w:bCs/>
          <w:color w:val="1E293B"/>
          <w:sz w:val="20"/>
          <w:szCs w:val="20"/>
        </w:rPr>
        <w:t xml:space="preserve">• Live FedEx Quoting: </w:t>
      </w:r>
      <w:r>
        <w:rPr>
          <w:rFonts w:ascii="Calibri" w:cs="Calibri" w:eastAsia="Calibri" w:hAnsi="Calibri"/>
          <w:color w:val="1E293B"/>
          <w:sz w:val="20"/>
          <w:szCs w:val="20"/>
        </w:rPr>
        <w:t xml:space="preserve">Live FedEx API Integration: In fedex.adapter.js, dual REST calls are dispatched to the FedEx Rates API requesting FEDEX_GROUND / GROUND_HOME_DELIVERY and FEDEX_2_DAY / STANDARD_OVERNIGHT.</w:t>
      </w:r>
    </w:p>
    <w:p>
      <w:pPr>
        <w:pStyle w:val="ListParagraph"/>
        <w:numPr>
          <w:ilvl w:val="0"/>
          <w:numId w:val="1"/>
        </w:numPr>
      </w:pPr>
      <w:r>
        <w:rPr>
          <w:rFonts w:ascii="Calibri" w:cs="Calibri" w:eastAsia="Calibri" w:hAnsi="Calibri"/>
          <w:b/>
          <w:bCs/>
          <w:color w:val="1E293B"/>
          <w:sz w:val="20"/>
          <w:szCs w:val="20"/>
        </w:rPr>
        <w:t xml:space="preserve">• Performance Layer: </w:t>
      </w:r>
      <w:r>
        <w:rPr>
          <w:rFonts w:ascii="Calibri" w:cs="Calibri" w:eastAsia="Calibri" w:hAnsi="Calibri"/>
          <w:color w:val="1E293B"/>
          <w:sz w:val="20"/>
          <w:szCs w:val="20"/>
        </w:rPr>
        <w:t xml:space="preserve">Rate Caching: A 90-second in-memory cache (rateQuoteCache) deduplicates identical checkout requests to eliminate 7-second round-trip latency.</w:t>
      </w:r>
    </w:p>
    <w:p>
      <w:pPr>
        <w:pStyle w:val="ListParagraph"/>
        <w:numPr>
          <w:ilvl w:val="0"/>
          <w:numId w:val="1"/>
        </w:numPr>
      </w:pPr>
      <w:r>
        <w:rPr>
          <w:rFonts w:ascii="Calibri" w:cs="Calibri" w:eastAsia="Calibri" w:hAnsi="Calibri"/>
          <w:b/>
          <w:bCs/>
          <w:color w:val="1E293B"/>
          <w:sz w:val="20"/>
          <w:szCs w:val="20"/>
        </w:rPr>
        <w:t xml:space="preserve">• Pricing &amp; SLA: </w:t>
      </w:r>
      <w:r>
        <w:rPr>
          <w:rFonts w:ascii="Calibri" w:cs="Calibri" w:eastAsia="Calibri" w:hAnsi="Calibri"/>
          <w:color w:val="1E293B"/>
          <w:sz w:val="20"/>
          <w:szCs w:val="20"/>
        </w:rPr>
        <w:t xml:space="preserve">Merchant Margin &amp; Fallback: If live rates fail, fallback rates are injected. When live rates succeed, the merchant's configured profit margin and safety buffer days are appended.</w:t>
      </w:r>
    </w:p>
    <w:p>
      <w:pPr>
        <w:pStyle w:val="Heading2"/>
      </w:pPr>
      <w:r>
        <w:rPr>
          <w:rFonts w:ascii="Calibri" w:cs="Calibri" w:eastAsia="Calibri" w:hAnsi="Calibri"/>
          <w:b/>
          <w:bCs/>
          <w:color w:val="259800"/>
          <w:sz w:val="24"/>
          <w:szCs w:val="24"/>
        </w:rPr>
        <w:t xml:space="preserve">Stage E: Server-Side Free Shipping Decision &amp; Payment Lock</w:t>
      </w:r>
    </w:p>
    <w:p>
      <w:r>
        <w:rPr>
          <w:rFonts w:ascii="Calibri" w:cs="Calibri" w:eastAsia="Calibri" w:hAnsi="Calibri"/>
          <w:b w:val="false"/>
          <w:bCs w:val="false"/>
          <w:i w:val="false"/>
          <w:iCs w:val="false"/>
          <w:color w:val="1E293B"/>
          <w:sz w:val="20"/>
          <w:szCs w:val="20"/>
        </w:rPr>
        <w:t xml:space="preserve">To prevent client-side price tampering, the server recomputes the entire shipping snapshot at payment initiation (payment.service.js:2745):</w:t>
      </w:r>
    </w:p>
    <w:p>
      <w:pPr>
        <w:shd w:fill="F1F5F9"/>
      </w:pPr>
      <w:r>
        <w:rPr>
          <w:rFonts w:ascii="Consolas" w:cs="Consolas" w:eastAsia="Consolas" w:hAnsi="Consolas"/>
          <w:color w:val="0F172A"/>
          <w:sz w:val="17"/>
          <w:szCs w:val="17"/>
        </w:rPr>
        <w:t xml:space="preserve">// Server-side calculation in payment.service.js:
const shippingSnapshot = buildShippingSnapshot({
  company,
  eligibleSubtotal: Math.max(0, Number(checkoutData.data.subtotal || 0) - discountAmount),
  shippingMethod: shipping_method || body.shipping_method,
  deliveryType,
  quotedShippingCharge: body.original_shipping_charges ?? shipping_charges,
  appliedCoupon: checkoutData.data.appliedCoupon,
  postalCode: shipping_address?.postal_code || shipping_address?.zipcode,
});
// orderData.shippingSnapshot is permanently stored on the order doc.</w:t>
      </w:r>
    </w:p>
    <w:p>
      <w:r>
        <w:rPr>
          <w:rFonts w:ascii="Calibri" w:cs="Calibri" w:eastAsia="Calibri" w:hAnsi="Calibri"/>
          <w:b w:val="false"/>
          <w:bCs w:val="false"/>
          <w:i w:val="false"/>
          <w:iCs w:val="false"/>
          <w:color w:val="1E293B"/>
          <w:sz w:val="20"/>
          <w:szCs w:val="20"/>
        </w:rPr>
        <w:t xml:space="preserve">Stripe PaymentIntent is created for totalAmount incorporating finalShippingCharge. The order saves the immutable snapshot: originalShippingCharge, shippingDiscount, finalShippingCharge, freeShippingApplied, and freeShippingThresholdAtOrder.</w:t>
      </w:r>
    </w:p>
    <w:p>
      <w:pPr>
        <w:pStyle w:val="Heading2"/>
      </w:pPr>
      <w:r>
        <w:rPr>
          <w:rFonts w:ascii="Calibri" w:cs="Calibri" w:eastAsia="Calibri" w:hAnsi="Calibri"/>
          <w:b/>
          <w:bCs/>
          <w:color w:val="259800"/>
          <w:sz w:val="24"/>
          <w:szCs w:val="24"/>
        </w:rPr>
        <w:t xml:space="preserve">Stage F: Fulfillment, Label Printing &amp; Courier Finance</w:t>
      </w:r>
    </w:p>
    <w:p>
      <w:r>
        <w:rPr>
          <w:rFonts w:ascii="Calibri" w:cs="Calibri" w:eastAsia="Calibri" w:hAnsi="Calibri"/>
          <w:b w:val="false"/>
          <w:bCs w:val="false"/>
          <w:i w:val="false"/>
          <w:iCs w:val="false"/>
          <w:color w:val="1E293B"/>
          <w:sz w:val="20"/>
          <w:szCs w:val="20"/>
        </w:rPr>
        <w:t xml:space="preserve">Upon payment confirmation, warehouse staff generate FedEx shipping labels. Tracking numbers are written to the order. In courierFinance.service.js, the system reconciles merchant courier costs against customer payments, recording free-shipping subsidies under financial reporting.</w:t>
      </w:r>
    </w:p>
    <w:p>
      <w:pPr>
        <w:pStyle w:val="Heading2"/>
      </w:pPr>
      <w:r>
        <w:rPr>
          <w:rFonts w:ascii="Calibri" w:cs="Calibri" w:eastAsia="Calibri" w:hAnsi="Calibri"/>
          <w:b/>
          <w:bCs/>
          <w:color w:val="259800"/>
          <w:sz w:val="24"/>
          <w:szCs w:val="24"/>
        </w:rPr>
        <w:t xml:space="preserve">Stage G: Cancellation &amp; Return Refund Handlers</w:t>
      </w:r>
    </w:p>
    <w:p>
      <w:r>
        <w:rPr>
          <w:rFonts w:ascii="Calibri" w:cs="Calibri" w:eastAsia="Calibri" w:hAnsi="Calibri"/>
          <w:b w:val="false"/>
          <w:bCs w:val="false"/>
          <w:i w:val="false"/>
          <w:iCs w:val="false"/>
          <w:color w:val="1E293B"/>
          <w:sz w:val="20"/>
          <w:szCs w:val="20"/>
        </w:rPr>
        <w:t xml:space="preserve">Pre-fulfillment cancellations (trust.service.js) and post-fulfillment returns (orderReturn.service.js) calculate refunds through Stripe. The cancellation engine calculates merchandise refund amounts based on line paid amounts, while the return engine verifies remaining returnable quantities and logs reverse logistics history.</w:t>
      </w:r>
    </w:p>
    <w:p>
      <w:pPr>
        <w:pStyle w:val="Heading1"/>
      </w:pPr>
      <w:r>
        <w:rPr>
          <w:rFonts w:ascii="Calibri" w:cs="Calibri" w:eastAsia="Calibri" w:hAnsi="Calibri"/>
          <w:b/>
          <w:bCs/>
          <w:color w:val="006837"/>
          <w:sz w:val="30"/>
          <w:szCs w:val="30"/>
        </w:rPr>
        <w:t xml:space="preserve">3. Critical Implementation Gaps, Defects &amp; Exploits</w:t>
      </w:r>
    </w:p>
    <w:p>
      <w:r>
        <w:rPr>
          <w:rFonts w:ascii="Calibri" w:cs="Calibri" w:eastAsia="Calibri" w:hAnsi="Calibri"/>
          <w:b w:val="false"/>
          <w:bCs w:val="false"/>
          <w:i w:val="false"/>
          <w:iCs w:val="false"/>
          <w:color w:val="1E293B"/>
          <w:sz w:val="20"/>
          <w:szCs w:val="20"/>
        </w:rPr>
        <w:t xml:space="preserve">Despite the extensive infrastructure, a deep review of the code reveals 8 severe architectural gaps, bugs, and financial vulnerabilities:</w:t>
      </w:r>
    </w:p>
    <w:p>
      <w:pPr>
        <w:pStyle w:val="Heading2"/>
      </w:pPr>
      <w:r>
        <w:rPr>
          <w:rFonts w:ascii="Calibri" w:cs="Calibri" w:eastAsia="Calibri" w:hAnsi="Calibri"/>
          <w:b/>
          <w:bCs/>
          <w:color w:val="259800"/>
          <w:sz w:val="24"/>
          <w:szCs w:val="24"/>
        </w:rPr>
        <w:t xml:space="preserve">Gap 1: Split-Delivery Free Shipping Defect (Critical Bug)</w:t>
      </w:r>
    </w:p>
    <w:p>
      <w:r>
        <w:rPr>
          <w:rFonts w:ascii="Calibri" w:cs="Calibri" w:eastAsia="Calibri" w:hAnsi="Calibri"/>
          <w:b w:val="false"/>
          <w:bCs w:val="false"/>
          <w:i w:val="false"/>
          <w:iCs w:val="false"/>
          <w:color w:val="1E293B"/>
          <w:sz w:val="20"/>
          <w:szCs w:val="20"/>
        </w:rPr>
        <w:t xml:space="preserve">The product-driven split delivery specification explicitly states: When an order splits into Parcel (Standard) and Express (Air), the Standard Ground parcel ($6.99) must be discounted to $0.00 (FREE) if the cart meets the threshold, while the Express parcel stays charged at $14.99.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none"/>
              <w:left w:val="single" w:color="DC2626" w:sz="24"/>
              <w:bottom w:val="none"/>
              <w:right w:val="none"/>
            </w:tcBorders>
            <w:shd w:fill="FEF2F2"/>
            <w:tcMar>
              <w:top w:type="dxa" w:w="140"/>
              <w:left w:type="dxa" w:w="200"/>
              <w:bottom w:type="dxa" w:w="140"/>
              <w:right w:type="dxa" w:w="180"/>
            </w:tcMar>
          </w:tcPr>
          <w:p>
            <w:r>
              <w:rPr>
                <w:rFonts w:ascii="Calibri" w:cs="Calibri" w:eastAsia="Calibri" w:hAnsi="Calibri"/>
                <w:b/>
                <w:bCs/>
                <w:color w:val="DC2626"/>
                <w:sz w:val="21"/>
                <w:szCs w:val="21"/>
              </w:rPr>
              <w:t xml:space="preserve">The Code Defect in freeShipping.service.js (Lines 21-24)</w:t>
            </w:r>
          </w:p>
          <w:p>
            <w:r>
              <w:rPr>
                <w:rFonts w:ascii="Calibri" w:cs="Calibri" w:eastAsia="Calibri" w:hAnsi="Calibri"/>
                <w:color w:val="1E293B"/>
                <w:sz w:val="19"/>
                <w:szCs w:val="19"/>
              </w:rPr>
              <w:t xml:space="preserve">In freeShipping.service.js, isStandardMethod checks:
const isStandardMethod = (method) =&gt; {
  const value = String(method || "standard").toLowerCase();
  return value === "standard" || value === "standard_shipping" || value === "ground";
};
When an order splits, shippingMethod is "split_delivery". isStandardMethod("split_delivery") evaluates to FALSE! As verified in unit test freeShipping.test.js:34, the server forcibly sets freeShippingApplied = false. Customers with split deliveries are charged full price for BOTH packages, even if their order value is $1,000!</w:t>
            </w:r>
          </w:p>
        </w:tc>
      </w:tr>
    </w:tbl>
    <w:p>
      <w:pPr>
        <w:pStyle w:val="Heading2"/>
      </w:pPr>
      <w:r>
        <w:rPr>
          <w:rFonts w:ascii="Calibri" w:cs="Calibri" w:eastAsia="Calibri" w:hAnsi="Calibri"/>
          <w:b/>
          <w:bCs/>
          <w:color w:val="259800"/>
          <w:sz w:val="24"/>
          <w:szCs w:val="24"/>
        </w:rPr>
        <w:t xml:space="preserve">Gap 2: The "Free Shipping Cancellation Exploit" (Revenue Loss Vulnerability)</w:t>
      </w:r>
    </w:p>
    <w:p>
      <w:r>
        <w:rPr>
          <w:rFonts w:ascii="Calibri" w:cs="Calibri" w:eastAsia="Calibri" w:hAnsi="Calibri"/>
          <w:b w:val="false"/>
          <w:bCs w:val="false"/>
          <w:i w:val="false"/>
          <w:iCs w:val="false"/>
          <w:color w:val="1E293B"/>
          <w:sz w:val="20"/>
          <w:szCs w:val="20"/>
        </w:rPr>
        <w:t xml:space="preserve">The cancellation engine in trust.service.js:1155-1235 allows partial item cancellations prior to warehouse dispatch. However, it completely lacks threshold re-evaluation.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tcBorders>
              <w:top w:val="none"/>
              <w:left w:val="single" w:color="DC2626" w:sz="24"/>
              <w:bottom w:val="none"/>
              <w:right w:val="none"/>
            </w:tcBorders>
            <w:shd w:fill="FEF2F2"/>
            <w:tcMar>
              <w:top w:type="dxa" w:w="140"/>
              <w:left w:type="dxa" w:w="200"/>
              <w:bottom w:type="dxa" w:w="140"/>
              <w:right w:type="dxa" w:w="180"/>
            </w:tcMar>
          </w:tcPr>
          <w:p>
            <w:r>
              <w:rPr>
                <w:rFonts w:ascii="Calibri" w:cs="Calibri" w:eastAsia="Calibri" w:hAnsi="Calibri"/>
                <w:b/>
                <w:bCs/>
                <w:color w:val="DC2626"/>
                <w:sz w:val="21"/>
                <w:szCs w:val="21"/>
              </w:rPr>
              <w:t xml:space="preserve">The Exploit Scenario</w:t>
            </w:r>
          </w:p>
          <w:p>
            <w:r>
              <w:rPr>
                <w:rFonts w:ascii="Calibri" w:cs="Calibri" w:eastAsia="Calibri" w:hAnsi="Calibri"/>
                <w:color w:val="1E293B"/>
                <w:sz w:val="19"/>
                <w:szCs w:val="19"/>
              </w:rPr>
              <w:t xml:space="preserve">1. Store free shipping threshold is $80. Normal FedEx shipping is $15.
2. Customer wants Item A ($35), but does not want to pay $15 shipping.
3. Customer adds Item B ($55) to cart -&gt; Subtotal is $90. Free shipping threshold is unlocked. Customer pays $90 with $0 shipping.
4. Five minutes later, customer cancels Item B ($55) via order details page.
5. In trust.service.js, refundOutstandingCancelledProducts refunds $55 + tax in full. The remaining order subtotal is now $35 (far below the $80 limit).
6. The system dispatches Item A with $0 shipping! The merchant pays FedEx $15 out of pocket for a $35 item, resulting in net negative margin.</w:t>
            </w:r>
          </w:p>
        </w:tc>
      </w:tr>
    </w:tbl>
    <w:p>
      <w:pPr>
        <w:pStyle w:val="Heading2"/>
      </w:pPr>
      <w:r>
        <w:rPr>
          <w:rFonts w:ascii="Calibri" w:cs="Calibri" w:eastAsia="Calibri" w:hAnsi="Calibri"/>
          <w:b/>
          <w:bCs/>
          <w:color w:val="259800"/>
          <w:sz w:val="24"/>
          <w:szCs w:val="24"/>
        </w:rPr>
        <w:t xml:space="preserve">Gap 3: Pre-Discount vs. Post-Discount Cart Threshold Mismatch</w:t>
      </w:r>
    </w:p>
    <w:p>
      <w:r>
        <w:rPr>
          <w:rFonts w:ascii="Calibri" w:cs="Calibri" w:eastAsia="Calibri" w:hAnsi="Calibri"/>
          <w:b w:val="false"/>
          <w:bCs w:val="false"/>
          <w:i w:val="false"/>
          <w:iCs w:val="false"/>
          <w:color w:val="1E293B"/>
          <w:sz w:val="20"/>
          <w:szCs w:val="20"/>
        </w:rPr>
        <w:t xml:space="preserve">In cart.tsx:680, FreeShippingProgress calculates remaining amount using effectiveSubtotal, which is computed BEFORE coupons or promotional discounts. However, at Checkout (Checkout.tsx:1862) and Payment (payment.service.js:2747), eligibleSubtotal is computed AFTER coupon discounts. If a customer has a $100 cart with an $80 threshold, the cart displays "Congratulations! You have unlocked FREE shipping". When the customer applies a $25 coupon at checkout, net subtotal falls to $75 (&lt; $80), and free shipping is suddenly revoked. This discrepancy causes high checkout abandonment.</w:t>
      </w:r>
    </w:p>
    <w:p>
      <w:pPr>
        <w:pStyle w:val="Heading2"/>
      </w:pPr>
      <w:r>
        <w:rPr>
          <w:rFonts w:ascii="Calibri" w:cs="Calibri" w:eastAsia="Calibri" w:hAnsi="Calibri"/>
          <w:b/>
          <w:bCs/>
          <w:color w:val="259800"/>
          <w:sz w:val="24"/>
          <w:szCs w:val="24"/>
        </w:rPr>
        <w:t xml:space="preserve">Gap 4: Product-Level Free Shipping Exclusions Missing</w:t>
      </w:r>
    </w:p>
    <w:p>
      <w:r>
        <w:rPr>
          <w:rFonts w:ascii="Calibri" w:cs="Calibri" w:eastAsia="Calibri" w:hAnsi="Calibri"/>
          <w:b w:val="false"/>
          <w:bCs w:val="false"/>
          <w:i w:val="false"/>
          <w:iCs w:val="false"/>
          <w:color w:val="1E293B"/>
          <w:sz w:val="20"/>
          <w:szCs w:val="20"/>
        </w:rPr>
        <w:t xml:space="preserve">The business specification dictates that heavy, bulky, or freight-classified items (such as 50 lb soil bags, river gravel, and stone pavers) must NOT count toward the free parcel shipping threshold. In the codebase, freeShipping.service.js performs a blanket summation of all cart line items. A customer purchasing two $45 heavy soil bags qualifies for free shipping on the entire order, forcing the store to absorb massive freight or courier surcharges.</w:t>
      </w:r>
    </w:p>
    <w:p>
      <w:pPr>
        <w:pStyle w:val="Heading2"/>
      </w:pPr>
      <w:r>
        <w:rPr>
          <w:rFonts w:ascii="Calibri" w:cs="Calibri" w:eastAsia="Calibri" w:hAnsi="Calibri"/>
          <w:b/>
          <w:bCs/>
          <w:color w:val="259800"/>
          <w:sz w:val="24"/>
          <w:szCs w:val="24"/>
        </w:rPr>
        <w:t xml:space="preserve">Gap 5: Admin Method Scope ("Both") Is Dead Code</w:t>
      </w:r>
    </w:p>
    <w:p>
      <w:r>
        <w:rPr>
          <w:rFonts w:ascii="Calibri" w:cs="Calibri" w:eastAsia="Calibri" w:hAnsi="Calibri"/>
          <w:b w:val="false"/>
          <w:bCs w:val="false"/>
          <w:i w:val="false"/>
          <w:iCs w:val="false"/>
          <w:color w:val="1E293B"/>
          <w:sz w:val="20"/>
          <w:szCs w:val="20"/>
        </w:rPr>
        <w:t xml:space="preserve">In EcommerceSettings.tsx:78, the admin interface allows merchants to set appliesToMethod to "both" (allowing free shipping on Express delivery for VIP or high-value orders). However, in backend freeShipping.service.js, appliesToMethod is not even read from the company document. Express is permanently hardcoded as ineligible for free shipping.</w:t>
      </w:r>
    </w:p>
    <w:p>
      <w:pPr>
        <w:pStyle w:val="Heading2"/>
      </w:pPr>
      <w:r>
        <w:rPr>
          <w:rFonts w:ascii="Calibri" w:cs="Calibri" w:eastAsia="Calibri" w:hAnsi="Calibri"/>
          <w:b/>
          <w:bCs/>
          <w:color w:val="259800"/>
          <w:sz w:val="24"/>
          <w:szCs w:val="24"/>
        </w:rPr>
        <w:t xml:space="preserve">Gap 6: Pre-Dispatch Full Cancellation Forfeits Customer Shipping</w:t>
      </w:r>
    </w:p>
    <w:p>
      <w:r>
        <w:rPr>
          <w:rFonts w:ascii="Calibri" w:cs="Calibri" w:eastAsia="Calibri" w:hAnsi="Calibri"/>
          <w:b w:val="false"/>
          <w:bCs w:val="false"/>
          <w:i w:val="false"/>
          <w:iCs w:val="false"/>
          <w:color w:val="1E293B"/>
          <w:sz w:val="20"/>
          <w:szCs w:val="20"/>
        </w:rPr>
        <w:t xml:space="preserve">In trust.service.js:1176, the refund engine hardcodes: const deliveryDue = 0; // Retain shipping even when the final item is cancelled. If a customer paid $25 for FedEx Express shipping and cancels the order within 10 minutes (before packing or shipping label generation), the merchant retains 100% of the customer's shipping fee. This triggers credit card chargebacks and disputes.</w:t>
      </w:r>
    </w:p>
    <w:p>
      <w:pPr>
        <w:pStyle w:val="Heading2"/>
      </w:pPr>
      <w:r>
        <w:rPr>
          <w:rFonts w:ascii="Calibri" w:cs="Calibri" w:eastAsia="Calibri" w:hAnsi="Calibri"/>
          <w:b/>
          <w:bCs/>
          <w:color w:val="259800"/>
          <w:sz w:val="24"/>
          <w:szCs w:val="24"/>
        </w:rPr>
        <w:t xml:space="preserve">Gap 7: Absence of Threshold Clawback on Partial Returns</w:t>
      </w:r>
    </w:p>
    <w:p>
      <w:r>
        <w:rPr>
          <w:rFonts w:ascii="Calibri" w:cs="Calibri" w:eastAsia="Calibri" w:hAnsi="Calibri"/>
          <w:b w:val="false"/>
          <w:bCs w:val="false"/>
          <w:i w:val="false"/>
          <w:iCs w:val="false"/>
          <w:color w:val="1E293B"/>
          <w:sz w:val="20"/>
          <w:szCs w:val="20"/>
        </w:rPr>
        <w:t xml:space="preserve">In orderReturn.service.js:1220-1235, when a customer initiates an RMA return for delivered merchandise, the refund is pro-rated solely on the returned items. If a customer orders $150 worth of goods to qualify for free shipping and subsequently returns $110 worth of goods (retaining only $40), the system refunds the full $110. It does not enforce a return policy clawback to deduct the original unearned shipping fee from the refund.</w:t>
      </w:r>
    </w:p>
    <w:p>
      <w:pPr>
        <w:pStyle w:val="Heading2"/>
      </w:pPr>
      <w:r>
        <w:rPr>
          <w:rFonts w:ascii="Calibri" w:cs="Calibri" w:eastAsia="Calibri" w:hAnsi="Calibri"/>
          <w:b/>
          <w:bCs/>
          <w:color w:val="259800"/>
          <w:sz w:val="24"/>
          <w:szCs w:val="24"/>
        </w:rPr>
        <w:t xml:space="preserve">Gap 8: Omnichannel Snapshot Inconsistency (POS vs. E-Commerce)</w:t>
      </w:r>
    </w:p>
    <w:p>
      <w:r>
        <w:rPr>
          <w:rFonts w:ascii="Calibri" w:cs="Calibri" w:eastAsia="Calibri" w:hAnsi="Calibri"/>
          <w:b w:val="false"/>
          <w:bCs w:val="false"/>
          <w:i w:val="false"/>
          <w:iCs w:val="false"/>
          <w:color w:val="1E293B"/>
          <w:sz w:val="20"/>
          <w:szCs w:val="20"/>
        </w:rPr>
        <w:t xml:space="preserve">The immutable shippingSnapshot schema is only instantiated inside payment.service.js (the online e-commerce checkout path). Orders originated via POS (sale.service.js) or created manually by staff in the Admin Panel (order.service.js) leave shippingSnapshot as null. Consequently, courier financial reconciliation reports (courierFinance.service.js) show distorted statistics.</w:t>
      </w:r>
    </w:p>
    <w:p>
      <w:pPr>
        <w:pStyle w:val="Heading1"/>
      </w:pPr>
      <w:r>
        <w:rPr>
          <w:rFonts w:ascii="Calibri" w:cs="Calibri" w:eastAsia="Calibri" w:hAnsi="Calibri"/>
          <w:b/>
          <w:bCs/>
          <w:color w:val="006837"/>
          <w:sz w:val="30"/>
          <w:szCs w:val="30"/>
        </w:rPr>
        <w:t xml:space="preserve">4. Multi-Tenant Architectural Analysis</w:t>
      </w:r>
    </w:p>
    <w:p>
      <w:r>
        <w:rPr>
          <w:rFonts w:ascii="Calibri" w:cs="Calibri" w:eastAsia="Calibri" w:hAnsi="Calibri"/>
          <w:b w:val="false"/>
          <w:bCs w:val="false"/>
          <w:i w:val="false"/>
          <w:iCs w:val="false"/>
          <w:color w:val="1E293B"/>
          <w:sz w:val="20"/>
          <w:szCs w:val="20"/>
        </w:rPr>
        <w:t xml:space="preserve">The EGF POS ecosystem employs a hybrid multi-tenant model where central company documents exist in the primary database, while transactional collections (orders, products, customers) reside in dedicated tenant databases (dbName). This introduces several logistics challenges:</w:t>
      </w:r>
    </w:p>
    <w:p>
      <w:pPr>
        <w:pStyle w:val="Heading2"/>
      </w:pPr>
      <w:r>
        <w:rPr>
          <w:rFonts w:ascii="Calibri" w:cs="Calibri" w:eastAsia="Calibri" w:hAnsi="Calibri"/>
          <w:b/>
          <w:bCs/>
          <w:color w:val="259800"/>
          <w:sz w:val="24"/>
          <w:szCs w:val="24"/>
        </w:rPr>
        <w:t xml:space="preserve">Tenant Boundary Issue A: Central Document vs. Tenant DB Partitioning</w:t>
      </w:r>
    </w:p>
    <w:p>
      <w:r>
        <w:rPr>
          <w:rFonts w:ascii="Calibri" w:cs="Calibri" w:eastAsia="Calibri" w:hAnsi="Calibri"/>
          <w:b w:val="false"/>
          <w:bCs w:val="false"/>
          <w:i w:val="false"/>
          <w:iCs w:val="false"/>
          <w:color w:val="1E293B"/>
          <w:sz w:val="20"/>
          <w:szCs w:val="20"/>
        </w:rPr>
        <w:t xml:space="preserve">The shippingSettings object (including FedEx credentials, markup percentages, and freeShippingThreshold) is attached to the central Company document in the core database. However, warehouse locations, product weights, and order records live inside the tenant database. If an admin updates settings, cache synchronization must occur across tenant instances.</w:t>
      </w:r>
    </w:p>
    <w:p>
      <w:pPr>
        <w:pStyle w:val="Heading2"/>
      </w:pPr>
      <w:r>
        <w:rPr>
          <w:rFonts w:ascii="Calibri" w:cs="Calibri" w:eastAsia="Calibri" w:hAnsi="Calibri"/>
          <w:b/>
          <w:bCs/>
          <w:color w:val="259800"/>
          <w:sz w:val="24"/>
          <w:szCs w:val="24"/>
        </w:rPr>
        <w:t xml:space="preserve">Tenant Boundary Issue B: Single-Scalar Multi-Currency Failure</w:t>
      </w:r>
    </w:p>
    <w:p>
      <w:r>
        <w:rPr>
          <w:rFonts w:ascii="Calibri" w:cs="Calibri" w:eastAsia="Calibri" w:hAnsi="Calibri"/>
          <w:b w:val="false"/>
          <w:bCs w:val="false"/>
          <w:i w:val="false"/>
          <w:iCs w:val="false"/>
          <w:color w:val="1E293B"/>
          <w:sz w:val="20"/>
          <w:szCs w:val="20"/>
        </w:rPr>
        <w:t xml:space="preserve">In Company.shippingSettings.freeShippingThreshold, minOrderSubtotal is a single scalar number without a currency denominator. If a tenant operates multi-country or multi-currency storefronts (e.g. a US store selling in USD and an India branch selling in INR), setting minOrderSubtotal = 100 results in $100 for the US store, but ₹100 for the India store (an absurdly low threshold of ~$1.20 USD). The model lacks store-level or currency-level threshold mapping.</w:t>
      </w:r>
    </w:p>
    <w:p>
      <w:pPr>
        <w:pStyle w:val="Heading2"/>
      </w:pPr>
      <w:r>
        <w:rPr>
          <w:rFonts w:ascii="Calibri" w:cs="Calibri" w:eastAsia="Calibri" w:hAnsi="Calibri"/>
          <w:b/>
          <w:bCs/>
          <w:color w:val="259800"/>
          <w:sz w:val="24"/>
          <w:szCs w:val="24"/>
        </w:rPr>
        <w:t xml:space="preserve">Tenant Boundary Issue C: Hardcoded "USD" in FedEx Adapter &amp; Fallbacks</w:t>
      </w:r>
    </w:p>
    <w:p>
      <w:r>
        <w:rPr>
          <w:rFonts w:ascii="Calibri" w:cs="Calibri" w:eastAsia="Calibri" w:hAnsi="Calibri"/>
          <w:b w:val="false"/>
          <w:bCs w:val="false"/>
          <w:i w:val="false"/>
          <w:iCs w:val="false"/>
          <w:color w:val="1E293B"/>
          <w:sz w:val="20"/>
          <w:szCs w:val="20"/>
        </w:rPr>
        <w:t xml:space="preserve">In shippingOrigin.service.js:1298 and fedex.adapter.js:1255, fallback and quoted rates contain hardcoded currency: "USD". For international tenants operating in INR, CAD, or GBP, this leads to currency corruption in order logs and invoice line items.</w:t>
      </w:r>
    </w:p>
    <w:p>
      <w:pPr>
        <w:pStyle w:val="Heading2"/>
      </w:pPr>
      <w:r>
        <w:rPr>
          <w:rFonts w:ascii="Calibri" w:cs="Calibri" w:eastAsia="Calibri" w:hAnsi="Calibri"/>
          <w:b/>
          <w:bCs/>
          <w:color w:val="259800"/>
          <w:sz w:val="24"/>
          <w:szCs w:val="24"/>
        </w:rPr>
        <w:t xml:space="preserve">Tenant Boundary Issue D: Tenant Credential Isolation</w:t>
      </w:r>
    </w:p>
    <w:p>
      <w:r>
        <w:rPr>
          <w:rFonts w:ascii="Calibri" w:cs="Calibri" w:eastAsia="Calibri" w:hAnsi="Calibri"/>
          <w:b w:val="false"/>
          <w:bCs w:val="false"/>
          <w:i w:val="false"/>
          <w:iCs w:val="false"/>
          <w:color w:val="1E293B"/>
          <w:sz w:val="20"/>
          <w:szCs w:val="20"/>
        </w:rPr>
        <w:t xml:space="preserve">FedEx REST API credentials in fedex.adapter.js default to platform-wide environment variables (FEDEX_CLIENT_ID, FEDEX_CLIENT_SECRET). While tenant integration overrides exist via tenantIntegrations.util.js, fallback behavior risks routing shipping labels through the SaaS platform's FedEx account instead of the tenant's dedicated commercial account.</w:t>
      </w:r>
    </w:p>
    <w:p>
      <w:pPr>
        <w:pStyle w:val="Heading1"/>
      </w:pPr>
      <w:r>
        <w:rPr>
          <w:rFonts w:ascii="Calibri" w:cs="Calibri" w:eastAsia="Calibri" w:hAnsi="Calibri"/>
          <w:b/>
          <w:bCs/>
          <w:color w:val="006837"/>
          <w:sz w:val="30"/>
          <w:szCs w:val="30"/>
        </w:rPr>
        <w:t xml:space="preserve">5. Comprehensive Implementation vs. Gap Matrix</w:t>
      </w:r>
    </w:p>
    <w:p>
      <w:r>
        <w:rPr>
          <w:rFonts w:ascii="Calibri" w:cs="Calibri" w:eastAsia="Calibri" w:hAnsi="Calibri"/>
          <w:b w:val="false"/>
          <w:bCs w:val="false"/>
          <w:i w:val="false"/>
          <w:iCs w:val="false"/>
          <w:color w:val="1E293B"/>
          <w:sz w:val="20"/>
          <w:szCs w:val="20"/>
        </w:rPr>
        <w:t xml:space="preserve">The table below summarizes every phase of the FedEx + Free Shipping flow, contrasting what is built against existing gaps and severity ratings: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8%"/>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Flow Stage</w:t>
            </w:r>
          </w:p>
        </w:tc>
        <w:tc>
          <w:tcPr>
            <w:tcW w:type="pct" w:w="24%"/>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Implemented Feature</w:t>
            </w:r>
          </w:p>
        </w:tc>
        <w:tc>
          <w:tcPr>
            <w:tcW w:type="pct" w:w="38%"/>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Identified Gap / Defect</w:t>
            </w:r>
          </w:p>
        </w:tc>
        <w:tc>
          <w:tcPr>
            <w:tcW w:type="pct" w:w="2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Severity</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1. Admin Settings</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Threshold toggle &amp; minOrderSubtotal in Company profile</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appliesToMethod ("both") ignored; no multi-currency thresholds; no product-level exclusions</w:t>
            </w:r>
          </w:p>
        </w:tc>
        <w:tc>
          <w:tcPr>
            <w:tcW w:type="pct" w:w="20%"/>
            <w:tcBorders>
              <w:top w:val="single" w:color="CBD5E1" w:sz="4"/>
              <w:left w:val="single" w:color="CBD5E1" w:sz="4"/>
              <w:bottom w:val="single" w:color="CBD5E1" w:sz="4"/>
              <w:right w:val="single" w:color="CBD5E1" w:sz="4"/>
            </w:tcBorders>
            <w:shd w:fill="FFFBEB"/>
            <w:tcMar>
              <w:top w:type="dxa" w:w="100"/>
              <w:left w:type="dxa" w:w="160"/>
              <w:bottom w:type="dxa" w:w="100"/>
              <w:right w:type="dxa" w:w="160"/>
            </w:tcMar>
          </w:tcPr>
          <w:p>
            <w:r>
              <w:rPr>
                <w:rFonts w:ascii="Calibri" w:cs="Calibri" w:eastAsia="Calibri" w:hAnsi="Calibri"/>
                <w:b/>
                <w:bCs/>
                <w:color w:val="D97706"/>
                <w:sz w:val="18"/>
                <w:szCs w:val="18"/>
              </w:rPr>
              <w:t xml:space="preserve">Medium</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2. Product Catalog</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Dimensions, tare weight, volumetric billable weight, maxUnitsPerPackage</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No isFreeShippingEligible flag; heavy items cannot be excluded from cart limit</w:t>
            </w:r>
          </w:p>
        </w:tc>
        <w:tc>
          <w:tcPr>
            <w:tcW w:type="pct" w:w="20%"/>
            <w:tcBorders>
              <w:top w:val="single" w:color="CBD5E1" w:sz="4"/>
              <w:left w:val="single" w:color="CBD5E1" w:sz="4"/>
              <w:bottom w:val="single" w:color="CBD5E1" w:sz="4"/>
              <w:right w:val="single" w:color="CBD5E1" w:sz="4"/>
            </w:tcBorders>
            <w:shd w:fill="FEF2F2"/>
            <w:tcMar>
              <w:top w:type="dxa" w:w="100"/>
              <w:left w:type="dxa" w:w="160"/>
              <w:bottom w:type="dxa" w:w="100"/>
              <w:right w:type="dxa" w:w="160"/>
            </w:tcMar>
          </w:tcPr>
          <w:p>
            <w:r>
              <w:rPr>
                <w:rFonts w:ascii="Calibri" w:cs="Calibri" w:eastAsia="Calibri" w:hAnsi="Calibri"/>
                <w:b/>
                <w:bCs/>
                <w:color w:val="DC2626"/>
                <w:sz w:val="18"/>
                <w:szCs w:val="18"/>
              </w:rPr>
              <w:t xml:space="preserve">High</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3. Storefront Cart</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FreeShippingProgress bar with dynamic remaining amount</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Calculates on gross subtotal before discounts; revokes free shipping at checkout after coupon</w:t>
            </w:r>
          </w:p>
        </w:tc>
        <w:tc>
          <w:tcPr>
            <w:tcW w:type="pct" w:w="20%"/>
            <w:tcBorders>
              <w:top w:val="single" w:color="CBD5E1" w:sz="4"/>
              <w:left w:val="single" w:color="CBD5E1" w:sz="4"/>
              <w:bottom w:val="single" w:color="CBD5E1" w:sz="4"/>
              <w:right w:val="single" w:color="CBD5E1" w:sz="4"/>
            </w:tcBorders>
            <w:shd w:fill="FEF2F2"/>
            <w:tcMar>
              <w:top w:type="dxa" w:w="100"/>
              <w:left w:type="dxa" w:w="160"/>
              <w:bottom w:type="dxa" w:w="100"/>
              <w:right w:type="dxa" w:w="160"/>
            </w:tcMar>
          </w:tcPr>
          <w:p>
            <w:r>
              <w:rPr>
                <w:rFonts w:ascii="Calibri" w:cs="Calibri" w:eastAsia="Calibri" w:hAnsi="Calibri"/>
                <w:b/>
                <w:bCs/>
                <w:color w:val="DC2626"/>
                <w:sz w:val="18"/>
                <w:szCs w:val="18"/>
              </w:rPr>
              <w:t xml:space="preserve">High</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4. FedEx Quoting</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Live REST Rate API, 90s rate cache, profit margins, safety buffer days</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Hardcoded "USD" in fallback options; single origin warehouse fallback</w:t>
            </w:r>
          </w:p>
        </w:tc>
        <w:tc>
          <w:tcPr>
            <w:tcW w:type="pct" w:w="20%"/>
            <w:tcBorders>
              <w:top w:val="single" w:color="CBD5E1" w:sz="4"/>
              <w:left w:val="single" w:color="CBD5E1" w:sz="4"/>
              <w:bottom w:val="single" w:color="CBD5E1" w:sz="4"/>
              <w:right w:val="single" w:color="CBD5E1" w:sz="4"/>
            </w:tcBorders>
            <w:shd w:fill="FFFBEB"/>
            <w:tcMar>
              <w:top w:type="dxa" w:w="100"/>
              <w:left w:type="dxa" w:w="160"/>
              <w:bottom w:type="dxa" w:w="100"/>
              <w:right w:type="dxa" w:w="160"/>
            </w:tcMar>
          </w:tcPr>
          <w:p>
            <w:r>
              <w:rPr>
                <w:rFonts w:ascii="Calibri" w:cs="Calibri" w:eastAsia="Calibri" w:hAnsi="Calibri"/>
                <w:b/>
                <w:bCs/>
                <w:color w:val="D97706"/>
                <w:sz w:val="18"/>
                <w:szCs w:val="18"/>
              </w:rPr>
              <w:t xml:space="preserve">Medium</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5. Split Delivery</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Auto-splits express plants &amp; ground goods into separate packages</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isStandardMethod rejects "split_delivery"; customers denied earned free shipping on ground parcel</w:t>
            </w:r>
          </w:p>
        </w:tc>
        <w:tc>
          <w:tcPr>
            <w:tcW w:type="pct" w:w="20%"/>
            <w:tcBorders>
              <w:top w:val="single" w:color="CBD5E1" w:sz="4"/>
              <w:left w:val="single" w:color="CBD5E1" w:sz="4"/>
              <w:bottom w:val="single" w:color="CBD5E1" w:sz="4"/>
              <w:right w:val="single" w:color="CBD5E1" w:sz="4"/>
            </w:tcBorders>
            <w:shd w:fill="FEF2F2"/>
            <w:tcMar>
              <w:top w:type="dxa" w:w="100"/>
              <w:left w:type="dxa" w:w="160"/>
              <w:bottom w:type="dxa" w:w="100"/>
              <w:right w:type="dxa" w:w="160"/>
            </w:tcMar>
          </w:tcPr>
          <w:p>
            <w:r>
              <w:rPr>
                <w:rFonts w:ascii="Calibri" w:cs="Calibri" w:eastAsia="Calibri" w:hAnsi="Calibri"/>
                <w:b/>
                <w:bCs/>
                <w:color w:val="DC2626"/>
                <w:sz w:val="18"/>
                <w:szCs w:val="18"/>
              </w:rPr>
              <w:t xml:space="preserve">Critical Bug</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6. Order Record</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Immutable shippingSnapshot on E-commerce order doc</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Snapshot is null on POS &amp; Admin manual orders; snapshot is flat and lacks per-package tracking</w:t>
            </w:r>
          </w:p>
        </w:tc>
        <w:tc>
          <w:tcPr>
            <w:tcW w:type="pct" w:w="20%"/>
            <w:tcBorders>
              <w:top w:val="single" w:color="CBD5E1" w:sz="4"/>
              <w:left w:val="single" w:color="CBD5E1" w:sz="4"/>
              <w:bottom w:val="single" w:color="CBD5E1" w:sz="4"/>
              <w:right w:val="single" w:color="CBD5E1" w:sz="4"/>
            </w:tcBorders>
            <w:shd w:fill="FFFBEB"/>
            <w:tcMar>
              <w:top w:type="dxa" w:w="100"/>
              <w:left w:type="dxa" w:w="160"/>
              <w:bottom w:type="dxa" w:w="100"/>
              <w:right w:type="dxa" w:w="160"/>
            </w:tcMar>
          </w:tcPr>
          <w:p>
            <w:r>
              <w:rPr>
                <w:rFonts w:ascii="Calibri" w:cs="Calibri" w:eastAsia="Calibri" w:hAnsi="Calibri"/>
                <w:b/>
                <w:bCs/>
                <w:color w:val="D97706"/>
                <w:sz w:val="18"/>
                <w:szCs w:val="18"/>
              </w:rPr>
              <w:t xml:space="preserve">Medium</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7. Cancellation</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Stripe refund calculation based on line paid amounts</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"Cancellation Exploit": partial cancel does not re-evaluate threshold. Full cancel forfeits shipping fee</w:t>
            </w:r>
          </w:p>
        </w:tc>
        <w:tc>
          <w:tcPr>
            <w:tcW w:type="pct" w:w="20%"/>
            <w:tcBorders>
              <w:top w:val="single" w:color="CBD5E1" w:sz="4"/>
              <w:left w:val="single" w:color="CBD5E1" w:sz="4"/>
              <w:bottom w:val="single" w:color="CBD5E1" w:sz="4"/>
              <w:right w:val="single" w:color="CBD5E1" w:sz="4"/>
            </w:tcBorders>
            <w:shd w:fill="FEF2F2"/>
            <w:tcMar>
              <w:top w:type="dxa" w:w="100"/>
              <w:left w:type="dxa" w:w="160"/>
              <w:bottom w:type="dxa" w:w="100"/>
              <w:right w:type="dxa" w:w="160"/>
            </w:tcMar>
          </w:tcPr>
          <w:p>
            <w:r>
              <w:rPr>
                <w:rFonts w:ascii="Calibri" w:cs="Calibri" w:eastAsia="Calibri" w:hAnsi="Calibri"/>
                <w:b/>
                <w:bCs/>
                <w:color w:val="DC2626"/>
                <w:sz w:val="18"/>
                <w:szCs w:val="18"/>
              </w:rPr>
              <w:t xml:space="preserve">Critical Exploit</w:t>
            </w:r>
          </w:p>
        </w:tc>
      </w:tr>
      <w:tr>
        <w:tc>
          <w:tcPr>
            <w:tcW w:type="pct" w:w="1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8. Return / RMA</w:t>
            </w:r>
          </w:p>
        </w:tc>
        <w:tc>
          <w:tcPr>
            <w:tcW w:type="pct" w:w="24%"/>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Pro-rated item refund, reverse tracking, QC restocking flow</w:t>
            </w:r>
          </w:p>
        </w:tc>
        <w:tc>
          <w:tcPr>
            <w:tcW w:type="pct" w:w="38%"/>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No unearned shipping clawback on partial returns; merchant absorbs 100% of reverse logistics</w:t>
            </w:r>
          </w:p>
        </w:tc>
        <w:tc>
          <w:tcPr>
            <w:tcW w:type="pct" w:w="20%"/>
            <w:tcBorders>
              <w:top w:val="single" w:color="CBD5E1" w:sz="4"/>
              <w:left w:val="single" w:color="CBD5E1" w:sz="4"/>
              <w:bottom w:val="single" w:color="CBD5E1" w:sz="4"/>
              <w:right w:val="single" w:color="CBD5E1" w:sz="4"/>
            </w:tcBorders>
            <w:shd w:fill="FEF2F2"/>
            <w:tcMar>
              <w:top w:type="dxa" w:w="100"/>
              <w:left w:type="dxa" w:w="160"/>
              <w:bottom w:type="dxa" w:w="100"/>
              <w:right w:type="dxa" w:w="160"/>
            </w:tcMar>
          </w:tcPr>
          <w:p>
            <w:r>
              <w:rPr>
                <w:rFonts w:ascii="Calibri" w:cs="Calibri" w:eastAsia="Calibri" w:hAnsi="Calibri"/>
                <w:b/>
                <w:bCs/>
                <w:color w:val="DC2626"/>
                <w:sz w:val="18"/>
                <w:szCs w:val="18"/>
              </w:rPr>
              <w:t xml:space="preserve">High</w:t>
            </w:r>
          </w:p>
        </w:tc>
      </w:tr>
    </w:tbl>
    <w:p/>
    <w:p>
      <w:pPr>
        <w:pStyle w:val="Heading1"/>
      </w:pPr>
      <w:r>
        <w:rPr>
          <w:rFonts w:ascii="Calibri" w:cs="Calibri" w:eastAsia="Calibri" w:hAnsi="Calibri"/>
          <w:b/>
          <w:bCs/>
          <w:color w:val="006837"/>
          <w:sz w:val="30"/>
          <w:szCs w:val="30"/>
        </w:rPr>
        <w:t xml:space="preserve">6. Corrective Architecture &amp; Implementation Roadmap</w:t>
      </w:r>
    </w:p>
    <w:p>
      <w:r>
        <w:rPr>
          <w:rFonts w:ascii="Calibri" w:cs="Calibri" w:eastAsia="Calibri" w:hAnsi="Calibri"/>
          <w:b w:val="false"/>
          <w:bCs w:val="false"/>
          <w:i w:val="false"/>
          <w:iCs w:val="false"/>
          <w:color w:val="1E293B"/>
          <w:sz w:val="20"/>
          <w:szCs w:val="20"/>
        </w:rPr>
        <w:t xml:space="preserve">To resolve these gaps and protect store profitability, the following four targeted code modifications are recommended:</w:t>
      </w:r>
    </w:p>
    <w:p>
      <w:pPr>
        <w:pStyle w:val="Heading2"/>
      </w:pPr>
      <w:r>
        <w:rPr>
          <w:rFonts w:ascii="Calibri" w:cs="Calibri" w:eastAsia="Calibri" w:hAnsi="Calibri"/>
          <w:b/>
          <w:bCs/>
          <w:color w:val="259800"/>
          <w:sz w:val="24"/>
          <w:szCs w:val="24"/>
        </w:rPr>
        <w:t xml:space="preserve">Fix 1: Package-Aware Free Shipping for Split Delivery</w:t>
      </w:r>
    </w:p>
    <w:p>
      <w:r>
        <w:rPr>
          <w:rFonts w:ascii="Calibri" w:cs="Calibri" w:eastAsia="Calibri" w:hAnsi="Calibri"/>
          <w:b w:val="false"/>
          <w:bCs w:val="false"/>
          <w:i w:val="false"/>
          <w:iCs w:val="false"/>
          <w:color w:val="1E293B"/>
          <w:sz w:val="20"/>
          <w:szCs w:val="20"/>
        </w:rPr>
        <w:t xml:space="preserve">In freeShipping.service.js, update buildShippingSnapshot to evaluate packages individually when shippingMethod === "split_delivery":</w:t>
      </w:r>
    </w:p>
    <w:p>
      <w:pPr>
        <w:shd w:fill="F1F5F9"/>
      </w:pPr>
      <w:r>
        <w:rPr>
          <w:rFonts w:ascii="Consolas" w:cs="Consolas" w:eastAsia="Consolas" w:hAnsi="Consolas"/>
          <w:color w:val="0F172A"/>
          <w:sz w:val="17"/>
          <w:szCs w:val="17"/>
        </w:rPr>
        <w:t xml:space="preserve">// Updated freeShipping.service.js logic:
const isStandardPackage = (pkg) =&gt; {
  const m = String(pkg.shippingMethod || pkg.method || "standard").toLowerCase();
  return m === "standard" || m === "standard_shipping" || m === "ground" || m === "fedex_ground";
};
// When order is split, evaluate threshold against total eligible subtotal,
// but waive ONLY the standard parcel shipping charge, keeping express charged:
if (shippingMethod === "split_delivery" &amp;&amp; Array.isArray(packages)) {
  let totalOriginalMinor = 0;
  let totalDiscountMinor = 0;
  packages.forEach(pkg =&gt; {
    const pkgMinor = toMinor(pkg.shippingCharge, currency);
    totalOriginalMinor += pkgMinor;
    if (thresholdMet &amp;&amp; isStandardPackage(pkg)) {
      totalDiscountMinor += pkgMinor; // Waive ground package fee!
      pkg.freeShippingApplied = true;
    } else {
      pkg.freeShippingApplied = false;
    }
  });
  // finalShippingCharge = totalOriginalMinor - totalDiscountMinor
}</w:t>
      </w:r>
    </w:p>
    <w:p>
      <w:pPr>
        <w:pStyle w:val="Heading2"/>
      </w:pPr>
      <w:r>
        <w:rPr>
          <w:rFonts w:ascii="Calibri" w:cs="Calibri" w:eastAsia="Calibri" w:hAnsi="Calibri"/>
          <w:b/>
          <w:bCs/>
          <w:color w:val="259800"/>
          <w:sz w:val="24"/>
          <w:szCs w:val="24"/>
        </w:rPr>
        <w:t xml:space="preserve">Fix 2: Plug the Cancellation Exploit in trust.service.js</w:t>
      </w:r>
    </w:p>
    <w:p>
      <w:r>
        <w:rPr>
          <w:rFonts w:ascii="Calibri" w:cs="Calibri" w:eastAsia="Calibri" w:hAnsi="Calibri"/>
          <w:b w:val="false"/>
          <w:bCs w:val="false"/>
          <w:i w:val="false"/>
          <w:iCs w:val="false"/>
          <w:color w:val="1E293B"/>
          <w:sz w:val="20"/>
          <w:szCs w:val="20"/>
        </w:rPr>
        <w:t xml:space="preserve">When a partial cancellation occurs, verify whether the retained merchandise still meets the order's free shipping threshold:</w:t>
      </w:r>
    </w:p>
    <w:p>
      <w:pPr>
        <w:shd w:fill="F1F5F9"/>
      </w:pPr>
      <w:r>
        <w:rPr>
          <w:rFonts w:ascii="Consolas" w:cs="Consolas" w:eastAsia="Consolas" w:hAnsi="Consolas"/>
          <w:color w:val="0F172A"/>
          <w:sz w:val="17"/>
          <w:szCs w:val="17"/>
        </w:rPr>
        <w:t xml:space="preserve">// In trust.service.js inside refundOutstandingCancelledProducts:
if (order.shippingSnapshot?.freeShippingApplied) {
  const remainingMerchandisePaid = Math.max(0, orderPaidGross - cancelledPaid);
  const threshold = Number(order.shippingSnapshot.freeShippingThresholdAtOrder || 0);
  if (remainingMerchandisePaid &lt; threshold &amp;&amp; threshold &gt; 0) {
    // Threshold breached! Claw back the original shipping discount:
    const shippingChargeToDeduct = Number(order.shippingSnapshot.originalShippingCharge || 0);
    due = Math.max(0, due - shippingChargeToDeduct);
    order.shippingSnapshot.freeShippingRevokedReason = "cancellation_threshold_breach";
    console.warn(`[Cancellation] Free shipping revoked. Deducted ${shippingChargeToDeduct} from refund.`);
  }
}</w:t>
      </w:r>
    </w:p>
    <w:p>
      <w:pPr>
        <w:pStyle w:val="Heading2"/>
      </w:pPr>
      <w:r>
        <w:rPr>
          <w:rFonts w:ascii="Calibri" w:cs="Calibri" w:eastAsia="Calibri" w:hAnsi="Calibri"/>
          <w:b/>
          <w:bCs/>
          <w:color w:val="259800"/>
          <w:sz w:val="24"/>
          <w:szCs w:val="24"/>
        </w:rPr>
        <w:t xml:space="preserve">Fix 3: Align Cart Subtotal with Post-Discount Eligibility</w:t>
      </w:r>
    </w:p>
    <w:p>
      <w:r>
        <w:rPr>
          <w:rFonts w:ascii="Calibri" w:cs="Calibri" w:eastAsia="Calibri" w:hAnsi="Calibri"/>
          <w:b w:val="false"/>
          <w:bCs w:val="false"/>
          <w:i w:val="false"/>
          <w:iCs w:val="false"/>
          <w:color w:val="1E293B"/>
          <w:sz w:val="20"/>
          <w:szCs w:val="20"/>
        </w:rPr>
        <w:t xml:space="preserve">In cart.tsx, compute estimated promotional and coupon discounts before passing currentAmount to FreeShippingProgress. This guarantees that the progress bar accurately represents whether the customer will actually qualify at checkout.</w:t>
      </w:r>
    </w:p>
    <w:p>
      <w:pPr>
        <w:pStyle w:val="Heading2"/>
      </w:pPr>
      <w:r>
        <w:rPr>
          <w:rFonts w:ascii="Calibri" w:cs="Calibri" w:eastAsia="Calibri" w:hAnsi="Calibri"/>
          <w:b/>
          <w:bCs/>
          <w:color w:val="259800"/>
          <w:sz w:val="24"/>
          <w:szCs w:val="24"/>
        </w:rPr>
        <w:t xml:space="preserve">Fix 4: Multi-Store / Multi-Currency Threshold Schema</w:t>
      </w:r>
    </w:p>
    <w:p>
      <w:r>
        <w:rPr>
          <w:rFonts w:ascii="Calibri" w:cs="Calibri" w:eastAsia="Calibri" w:hAnsi="Calibri"/>
          <w:b w:val="false"/>
          <w:bCs w:val="false"/>
          <w:i w:val="false"/>
          <w:iCs w:val="false"/>
          <w:color w:val="1E293B"/>
          <w:sz w:val="20"/>
          <w:szCs w:val="20"/>
        </w:rPr>
        <w:t xml:space="preserve">Refactor Company.shippingSettings.freeShippingThreshold from a single scalar into a currency/store-scoped array:</w:t>
      </w:r>
    </w:p>
    <w:p>
      <w:pPr>
        <w:shd w:fill="F1F5F9"/>
      </w:pPr>
      <w:r>
        <w:rPr>
          <w:rFonts w:ascii="Consolas" w:cs="Consolas" w:eastAsia="Consolas" w:hAnsi="Consolas"/>
          <w:color w:val="0F172A"/>
          <w:sz w:val="17"/>
          <w:szCs w:val="17"/>
        </w:rPr>
        <w:t xml:space="preserve">// Proposed CompanySchema enhancement:
freeShippingThresholds: [
  { storeSlug: "us-store", currency: "USD", minOrderSubtotal: 75, appliesToMethod: "standard" },
  { storeSlug: "india-store", currency: "INR", minOrderSubtotal: 999, appliesToMethod: "standard" }
]</w:t>
      </w:r>
    </w:p>
    <w:p>
      <w:pPr>
        <w:pStyle w:val="Heading2"/>
      </w:pPr>
      <w:r>
        <w:rPr>
          <w:rFonts w:ascii="Calibri" w:cs="Calibri" w:eastAsia="Calibri" w:hAnsi="Calibri"/>
          <w:b/>
          <w:bCs/>
          <w:color w:val="259800"/>
          <w:sz w:val="24"/>
          <w:szCs w:val="24"/>
        </w:rPr>
        <w:t xml:space="preserve">Conclusion &amp; Next Steps</w:t>
      </w:r>
    </w:p>
    <w:p>
      <w:r>
        <w:rPr>
          <w:rFonts w:ascii="Calibri" w:cs="Calibri" w:eastAsia="Calibri" w:hAnsi="Calibri"/>
          <w:b w:val="false"/>
          <w:bCs w:val="false"/>
          <w:i w:val="false"/>
          <w:iCs w:val="false"/>
          <w:color w:val="1E293B"/>
          <w:sz w:val="20"/>
          <w:szCs w:val="20"/>
        </w:rPr>
        <w:t xml:space="preserve">The FedEx shipping integration provides a solid commercial foundation for live rating, parcel cartonization, and margin markup. Implementing the four targeted fixes above will eliminate split-delivery checkout friction, prevent revenue loss from partial cancellations, and ensure seamless multi-currency support across all tenant stores.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FedEx Shipping and Free Shipping Cart Limit Review</dc:title>
  <dc:creator>Un-named</dc:creator>
  <dc:description>Technical and architectural review of FedEx shipping and free shipping cart limit calculation.</dc:description>
  <cp:lastModifiedBy>Un-named</cp:lastModifiedBy>
  <cp:revision>1</cp:revision>
  <dcterms:created xsi:type="dcterms:W3CDTF">2026-11-02T03:25:10.974Z</dcterms:created>
  <dcterms:modified xsi:type="dcterms:W3CDTF">2026-11-02T03:25:10.975Z</dcterms:modified>
</cp:coreProperties>
</file>

<file path=docProps/custom.xml><?xml version="1.0" encoding="utf-8"?>
<Properties xmlns="http://schemas.openxmlformats.org/officeDocument/2006/custom-properties" xmlns:vt="http://schemas.openxmlformats.org/officeDocument/2006/docPropsVTypes"/>
</file>